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F" w:rsidRPr="00127FCF" w:rsidRDefault="00127FCF" w:rsidP="00127FCF">
      <w:pPr>
        <w:spacing w:after="180" w:line="240" w:lineRule="auto"/>
        <w:textAlignment w:val="baseline"/>
        <w:outlineLvl w:val="0"/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Dinh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dưỡng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cho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t</w:t>
      </w:r>
      <w:bookmarkStart w:id="0" w:name="_GoBack"/>
      <w:bookmarkEnd w:id="0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rẻ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mắc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bệnh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kern w:val="36"/>
          <w:sz w:val="54"/>
          <w:szCs w:val="54"/>
        </w:rPr>
        <w:t>chảy</w:t>
      </w:r>
      <w:proofErr w:type="spellEnd"/>
    </w:p>
    <w:p w:rsidR="00127FCF" w:rsidRPr="00127FCF" w:rsidRDefault="00127FCF" w:rsidP="00127FCF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color w:val="666666"/>
          <w:sz w:val="18"/>
          <w:szCs w:val="18"/>
        </w:rPr>
      </w:pPr>
      <w:r w:rsidRPr="00127FCF">
        <w:rPr>
          <w:rFonts w:ascii="Helvetica" w:eastAsia="Times New Roman" w:hAnsi="Helvetica" w:cs="Helvetica"/>
          <w:b w:val="0"/>
          <w:color w:val="666666"/>
          <w:sz w:val="18"/>
          <w:szCs w:val="18"/>
          <w:bdr w:val="none" w:sz="0" w:space="0" w:color="auto" w:frame="1"/>
        </w:rPr>
        <w:t>20/05/2017 16:00 GMT+7</w:t>
      </w:r>
    </w:p>
    <w:p w:rsidR="00127FCF" w:rsidRPr="00127FCF" w:rsidRDefault="00127FCF" w:rsidP="00127FCF">
      <w:pPr>
        <w:pBdr>
          <w:bottom w:val="single" w:sz="6" w:space="16" w:color="ECEDEE"/>
        </w:pBd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Cs/>
          <w:color w:val="373737"/>
          <w:sz w:val="24"/>
        </w:rPr>
      </w:pP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thường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suy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dinh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dưỡng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thể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dẫn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tới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những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biến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chứng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nguy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hiểm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do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cơ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thể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mất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lượng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muối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373737"/>
          <w:sz w:val="24"/>
        </w:rPr>
        <w:t>lớn</w:t>
      </w:r>
      <w:proofErr w:type="spellEnd"/>
      <w:r w:rsidRPr="00127FCF">
        <w:rPr>
          <w:rFonts w:ascii="Helvetica" w:eastAsia="Times New Roman" w:hAnsi="Helvetica" w:cs="Helvetica"/>
          <w:bCs/>
          <w:color w:val="373737"/>
          <w:sz w:val="24"/>
        </w:rPr>
        <w:t>.</w:t>
      </w:r>
    </w:p>
    <w:p w:rsidR="00127FCF" w:rsidRPr="00127FCF" w:rsidRDefault="00127FCF" w:rsidP="00127FCF">
      <w:pPr>
        <w:numPr>
          <w:ilvl w:val="0"/>
          <w:numId w:val="1"/>
        </w:numPr>
        <w:spacing w:after="0" w:line="240" w:lineRule="auto"/>
        <w:ind w:left="165"/>
        <w:textAlignment w:val="baseline"/>
        <w:rPr>
          <w:rFonts w:ascii="Helvetica" w:eastAsia="Times New Roman" w:hAnsi="Helvetica" w:cs="Helvetica"/>
          <w:b w:val="0"/>
          <w:color w:val="666666"/>
          <w:sz w:val="18"/>
          <w:szCs w:val="18"/>
        </w:rPr>
      </w:pPr>
      <w:hyperlink r:id="rId6" w:tooltip="​Dinh dưỡng cho trẻ bị tiêu chảy" w:history="1"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​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Dinh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dưỡng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cho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trẻ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bị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tiêu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chảy</w:t>
        </w:r>
        <w:proofErr w:type="spellEnd"/>
      </w:hyperlink>
    </w:p>
    <w:p w:rsidR="00127FCF" w:rsidRPr="00127FCF" w:rsidRDefault="00127FCF" w:rsidP="00127FCF">
      <w:pPr>
        <w:numPr>
          <w:ilvl w:val="0"/>
          <w:numId w:val="1"/>
        </w:numPr>
        <w:spacing w:after="0" w:line="240" w:lineRule="auto"/>
        <w:ind w:left="165"/>
        <w:textAlignment w:val="baseline"/>
        <w:rPr>
          <w:rFonts w:ascii="Helvetica" w:eastAsia="Times New Roman" w:hAnsi="Helvetica" w:cs="Helvetica"/>
          <w:b w:val="0"/>
          <w:color w:val="666666"/>
          <w:sz w:val="18"/>
          <w:szCs w:val="18"/>
        </w:rPr>
      </w:pPr>
      <w:hyperlink r:id="rId7" w:tooltip="​Vi chất dinh dưỡng và cách bổ sung an toàn cho trẻ" w:history="1"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​Vi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chất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dinh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dưỡng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và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cách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bổ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sung an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toàn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cho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trẻ</w:t>
        </w:r>
        <w:proofErr w:type="spellEnd"/>
      </w:hyperlink>
    </w:p>
    <w:p w:rsidR="00127FCF" w:rsidRPr="00127FCF" w:rsidRDefault="00127FCF" w:rsidP="00127FCF">
      <w:pPr>
        <w:numPr>
          <w:ilvl w:val="0"/>
          <w:numId w:val="1"/>
        </w:numPr>
        <w:spacing w:line="240" w:lineRule="auto"/>
        <w:ind w:left="165"/>
        <w:textAlignment w:val="baseline"/>
        <w:rPr>
          <w:rFonts w:ascii="Helvetica" w:eastAsia="Times New Roman" w:hAnsi="Helvetica" w:cs="Helvetica"/>
          <w:b w:val="0"/>
          <w:color w:val="666666"/>
          <w:sz w:val="18"/>
          <w:szCs w:val="18"/>
        </w:rPr>
      </w:pPr>
      <w:hyperlink r:id="rId8" w:tooltip="​Dinh dưỡng ngày Tết hợp lý cho người bệnh mãn tính và trẻ nhỏ" w:history="1"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​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Dinh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dưỡng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ngày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Tết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hợp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lý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cho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người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bệnh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mãn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tính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và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trẻ</w:t>
        </w:r>
        <w:proofErr w:type="spellEnd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127FCF">
          <w:rPr>
            <w:rFonts w:ascii="Helvetica" w:eastAsia="Times New Roman" w:hAnsi="Helvetica" w:cs="Helvetica"/>
            <w:bCs/>
            <w:color w:val="666666"/>
            <w:sz w:val="20"/>
            <w:szCs w:val="20"/>
            <w:bdr w:val="none" w:sz="0" w:space="0" w:color="auto" w:frame="1"/>
          </w:rPr>
          <w:t>nhỏ</w:t>
        </w:r>
        <w:proofErr w:type="spellEnd"/>
      </w:hyperlink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noProof/>
          <w:color w:val="231F20"/>
          <w:sz w:val="24"/>
        </w:rPr>
        <w:drawing>
          <wp:inline distT="0" distB="0" distL="0" distR="0" wp14:anchorId="5663C2F9" wp14:editId="4C3BA306">
            <wp:extent cx="5715000" cy="3810000"/>
            <wp:effectExtent l="0" t="0" r="0" b="0"/>
            <wp:docPr id="1" name="Picture 1" descr="https://static.new.tuoitre.vn/tto/i/s626/2017/05/20/hinh-3-149526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ew.tuoitre.vn/tto/i/s626/2017/05/20/hinh-3-14952681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CF" w:rsidRPr="00127FCF" w:rsidRDefault="00127FCF" w:rsidP="00127FCF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Cách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chăm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sóc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trẻ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bị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chảy</w:t>
      </w:r>
      <w:proofErr w:type="spell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Cho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hơn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thường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nào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muốn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tiếp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tục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đường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đến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hết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biểu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hiện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khát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sự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chịu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phải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đánh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xem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khát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muốn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muốn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nghĩa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đã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đủ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lượng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mất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  <w:proofErr w:type="gram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thìa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cứ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1-2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phút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/1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thìa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.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lớn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hơn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cốc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từng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ngụm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nên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quá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nhanh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nếu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nôn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ngừng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10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phút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tiếp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tục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chậm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hơn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2-3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phút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/1thìa.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Số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lượng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mỗi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ngoài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: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lastRenderedPageBreak/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5-100ml;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2-10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100-200ml;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10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trở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lên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theo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kéo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bổ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sung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ngay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vitamin </w:t>
      </w:r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A</w:t>
      </w:r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theo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quy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định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Các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loại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dịch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dùng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trong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điều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trị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chảy</w:t>
      </w:r>
      <w:proofErr w:type="spell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+ ORS: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dung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tốt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nhất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pha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Đổ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lít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tốt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nhất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sôi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nguội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.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Đổ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lắc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đến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hòa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tan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hoàn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toàn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.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Đậy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vòng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24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giờ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quá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24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giờ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thì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đổ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dung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đã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pha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dung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+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cháo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muối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Dùng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nắm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gạo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nhúm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muối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bát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(1/2lít),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đun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15-20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phút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từ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sôi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đến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hạt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gạo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nở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rồi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lấy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.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Ngoài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ra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còn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dùng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gạo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rang,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cơm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đun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sôi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nguội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Dinh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dưỡng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cho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trẻ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khi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bị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chảy</w:t>
      </w:r>
      <w:proofErr w:type="spell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nhỏ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đang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vẫn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tiếp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tục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thường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tăng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số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bò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thì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vẫn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như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thường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trên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ngoài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hoặc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bò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giàu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như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thịt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trứng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...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dầu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mềm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ngay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nấu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đảm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bảo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vệ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giảm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nguy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bội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nhiễm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quả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chín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hoặc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quả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như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chuối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cam,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chanh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xoài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dừa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đủ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…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tăng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lượng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kali.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dùng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đường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vì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sẽ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tăng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thực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phẩm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chất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xơ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vì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khó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hóa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ý: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súp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cháo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chỉ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dung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dịch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nên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coi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vì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cung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cấp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đủ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chất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Số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lượng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số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đầy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đủ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cứ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3-4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giờ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khoảng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ngày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. Cho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ít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tốt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hơn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nhiều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nhưng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ít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khỏi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để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giúp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nhanh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phục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hồi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suy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dưỡng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mỗi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ngày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liền.Trẻ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bị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chảy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kéo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mỗi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ngày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một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bữa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kéo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thiểu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  <w:proofErr w:type="gramEnd"/>
    </w:p>
    <w:p w:rsidR="00127FCF" w:rsidRPr="00127FCF" w:rsidRDefault="00127FCF" w:rsidP="00127FCF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Phòng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bệnh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tiêu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4"/>
          <w:bdr w:val="none" w:sz="0" w:space="0" w:color="auto" w:frame="1"/>
        </w:rPr>
        <w:t>chảy</w:t>
      </w:r>
      <w:proofErr w:type="spellEnd"/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được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hoàn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toàn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đầu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tiếp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tục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đến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2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Cho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bổ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sung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từ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6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với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loại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thực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phẩm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của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cả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4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nhóm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đặc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biệt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dầu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mỡ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được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nấu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kỹ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nghiền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nhỏ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ngay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nấu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Thức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đảm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bảo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vệ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sẽ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Cho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uống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bằng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bát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cốc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thìa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sạch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không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bú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chai.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lastRenderedPageBreak/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Mọi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người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trong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gia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đình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cần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rửa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tay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sau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ngoài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,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trước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nấu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ăn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Sử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dụng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tiêu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hợp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vệ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sinh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after="307" w:line="240" w:lineRule="auto"/>
        <w:textAlignment w:val="baseline"/>
        <w:rPr>
          <w:rFonts w:ascii="Helvetica" w:eastAsia="Times New Roman" w:hAnsi="Helvetica" w:cs="Helvetica"/>
          <w:b w:val="0"/>
          <w:color w:val="231F20"/>
          <w:sz w:val="24"/>
        </w:rPr>
      </w:pPr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-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Tiêm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phòng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sởi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cho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được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9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tháng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và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nhắc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lại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khi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trẻ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trên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1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tuổi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proofErr w:type="gram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theo</w:t>
      </w:r>
      <w:proofErr w:type="spellEnd"/>
      <w:proofErr w:type="gram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đúng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phác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đồ</w:t>
      </w:r>
      <w:proofErr w:type="spellEnd"/>
      <w:r w:rsidRPr="00127FCF">
        <w:rPr>
          <w:rFonts w:ascii="Helvetica" w:eastAsia="Times New Roman" w:hAnsi="Helvetica" w:cs="Helvetica"/>
          <w:b w:val="0"/>
          <w:color w:val="231F20"/>
          <w:sz w:val="24"/>
        </w:rPr>
        <w:t>.</w:t>
      </w:r>
    </w:p>
    <w:p w:rsidR="00127FCF" w:rsidRPr="00127FCF" w:rsidRDefault="00127FCF" w:rsidP="00127FCF">
      <w:pPr>
        <w:spacing w:line="420" w:lineRule="atLeast"/>
        <w:jc w:val="right"/>
        <w:textAlignment w:val="baseline"/>
        <w:rPr>
          <w:rFonts w:ascii="Helvetica" w:eastAsia="Times New Roman" w:hAnsi="Helvetica" w:cs="Helvetica"/>
          <w:bCs/>
          <w:color w:val="231F20"/>
          <w:sz w:val="21"/>
          <w:szCs w:val="21"/>
        </w:rPr>
      </w:pP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Nguồn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: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Trung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tâm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Truyền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thông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Giáo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dục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Sức</w:t>
      </w:r>
      <w:proofErr w:type="spellEnd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 xml:space="preserve"> </w:t>
      </w:r>
      <w:proofErr w:type="spellStart"/>
      <w:r w:rsidRPr="00127FCF">
        <w:rPr>
          <w:rFonts w:ascii="Helvetica" w:eastAsia="Times New Roman" w:hAnsi="Helvetica" w:cs="Helvetica"/>
          <w:bCs/>
          <w:color w:val="231F20"/>
          <w:sz w:val="21"/>
          <w:szCs w:val="21"/>
        </w:rPr>
        <w:t>khỏe</w:t>
      </w:r>
      <w:proofErr w:type="spellEnd"/>
    </w:p>
    <w:p w:rsidR="009E7331" w:rsidRDefault="00127FCF"/>
    <w:sectPr w:rsidR="009E7331" w:rsidSect="0054495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EA4"/>
    <w:multiLevelType w:val="multilevel"/>
    <w:tmpl w:val="95F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F"/>
    <w:rsid w:val="00127FCF"/>
    <w:rsid w:val="004A4BA5"/>
    <w:rsid w:val="00544951"/>
    <w:rsid w:val="006C4208"/>
    <w:rsid w:val="007359E5"/>
    <w:rsid w:val="008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967">
              <w:marLeft w:val="0"/>
              <w:marRight w:val="0"/>
              <w:marTop w:val="0"/>
              <w:marBottom w:val="270"/>
              <w:divBdr>
                <w:top w:val="none" w:sz="0" w:space="12" w:color="auto"/>
                <w:left w:val="none" w:sz="0" w:space="0" w:color="auto"/>
                <w:bottom w:val="single" w:sz="6" w:space="0" w:color="ECEDEE"/>
                <w:right w:val="none" w:sz="0" w:space="0" w:color="auto"/>
              </w:divBdr>
            </w:div>
          </w:divsChild>
        </w:div>
        <w:div w:id="186786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oitre.vn/dinh-duong-ngay-tet-hop-ly-cho-nguoi-benh-man-tinh-va-tre-nho-12529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oitre.vn/vi-chat-dinh-duong-va-cach-bo-sung-an-toan-cho-tre-13046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oitre.vn/dinh-duong-cho-tre-bi-tieu-chay-131207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2018-05-04T01:33:00Z</dcterms:created>
  <dcterms:modified xsi:type="dcterms:W3CDTF">2018-05-04T01:34:00Z</dcterms:modified>
</cp:coreProperties>
</file>